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Имитационное моделирование</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«Имитационное моделирование»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«Имитационное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«Имитационное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Способность моделировать прикладные (бизнес) процессы и предметную область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основы управления организационными изменениями; архитектуру, устройство и функционирование вычислительных систем, коммуникационное оборудование, сетевые протоколы</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ИПК-5.4 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ИПК-5.10 владеть методами управления взаимоотношениями с клиентами и заказ-чиками (CRM),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«Имитационное моделирование»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Системная архитектура</w:t>
            </w:r>
          </w:p>
          <w:p>
            <w:pPr>
              <w:jc w:val="center"/>
              <w:spacing w:after="0" w:line="240" w:lineRule="auto"/>
              <w:rPr>
                <w:sz w:val="22"/>
                <w:szCs w:val="22"/>
              </w:rPr>
            </w:pPr>
            <w:r>
              <w:rPr>
                <w:rFonts w:ascii="Times New Roman" w:hAnsi="Times New Roman" w:cs="Times New Roman"/>
                <w:color w:val="#000000"/>
                <w:sz w:val="22"/>
                <w:szCs w:val="22"/>
              </w:rPr>
              <w:t> Системы классификации и кодирования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Имитационное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как объект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метода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дисперсионного и корреляционного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обработка результатов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имитационного моделирования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57.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модели и моделирования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как объект моделирования. Общее определение модели. Классификация моделей и моделирования. Этапы моделирования. Адекватность модели. Требования, предъявляемые к моделям. Компьютерное моделирование.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дискретных систем для имитационного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систем массового обслуживания. Классификация моделей систем массового обслуживания. Параметры и показатели систем массового обслуживания.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случайных величин и событий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имитационного моделирования. Общая характеристика метода имитационного моделирования. Статистическое моделирование при решении детерминированных задач. Моделирование равномерно распределенной случайной величины. Моделирование случайной величины с произвольным законом распределения.  Моделирование единичного события. Моделирование полной группы несовместных событий. Моделирование совместных независимых событий. Моделирование совместных зависимых событий.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случайных процессов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случайных процессов. Способы продвижения модельного времени. Модель противоборства двух сторон. Модель противоборства как процесс блуждания по решетке. Типовая схема имитационной модели с продвижением времени по событиям. Имитационная модель системы массового обслуживания.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моделирование статистических зависимостей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Коэффициент корреляции. Оценка разброса коэффициента корреляции Ранговая корреляция. Корреляционное отношение. Анализ очищенных связей, частные коэффициенты корреляции. Регрессия. Множественная корреляция.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экспериментов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планирования эксперимента.  Элементы стратегического планирования экспериментов. Стандартные планы. Формальный подход к сокращению общего числа прогонов. Элементы тактического планирования. Точность и количество реализаций модели при определении средних значений параметров. Точность и количество реализаций модели при определении вероятностей исходов. Точность и количество реализаций модели при зависимом ряде данных. Проблема начальных условий.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результатов имитационного эксперимента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случайных величин и процессов. Требования к оценкам характеристик. Оценка характеристик случайных величин и процессов. Гистограмма.  Элементы дисперсионного анализа. Критерий Фишера. Критерий Вилкоксона.  Однофакторный дисперсионный анализ.  Выявление несущественных факторов.  Сущность корреляционного анализа. 5.10. Обработка результатов эксперимента на основе регрессии.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теории имитационного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Распределенное имитационное моделирование.  Агентное моделирование.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как объект моделирования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определение модели</w:t>
            </w:r>
          </w:p>
          <w:p>
            <w:pPr>
              <w:jc w:val="both"/>
              <w:spacing w:after="0" w:line="240" w:lineRule="auto"/>
              <w:rPr>
                <w:sz w:val="24"/>
                <w:szCs w:val="24"/>
              </w:rPr>
            </w:pPr>
            <w:r>
              <w:rPr>
                <w:rFonts w:ascii="Times New Roman" w:hAnsi="Times New Roman" w:cs="Times New Roman"/>
                <w:color w:val="#000000"/>
                <w:sz w:val="24"/>
                <w:szCs w:val="24"/>
              </w:rPr>
              <w:t> 2.	Адекватность модели</w:t>
            </w:r>
          </w:p>
          <w:p>
            <w:pPr>
              <w:jc w:val="both"/>
              <w:spacing w:after="0" w:line="240" w:lineRule="auto"/>
              <w:rPr>
                <w:sz w:val="24"/>
                <w:szCs w:val="24"/>
              </w:rPr>
            </w:pPr>
            <w:r>
              <w:rPr>
                <w:rFonts w:ascii="Times New Roman" w:hAnsi="Times New Roman" w:cs="Times New Roman"/>
                <w:color w:val="#000000"/>
                <w:sz w:val="24"/>
                <w:szCs w:val="24"/>
              </w:rPr>
              <w:t> 3.	Классификация моделей и моделирования по признаку «характер моделируемой стороны объекта»</w:t>
            </w:r>
          </w:p>
          <w:p>
            <w:pPr>
              <w:jc w:val="both"/>
              <w:spacing w:after="0" w:line="240" w:lineRule="auto"/>
              <w:rPr>
                <w:sz w:val="24"/>
                <w:szCs w:val="24"/>
              </w:rPr>
            </w:pPr>
            <w:r>
              <w:rPr>
                <w:rFonts w:ascii="Times New Roman" w:hAnsi="Times New Roman" w:cs="Times New Roman"/>
                <w:color w:val="#000000"/>
                <w:sz w:val="24"/>
                <w:szCs w:val="24"/>
              </w:rPr>
              <w:t> 4.	Классификация моделей и моделирования по признаку «характер процессов, протекающих в объекте»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моделирования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моделирования (основные и дополнительные)</w:t>
            </w:r>
          </w:p>
          <w:p>
            <w:pPr>
              <w:jc w:val="both"/>
              <w:spacing w:after="0" w:line="240" w:lineRule="auto"/>
              <w:rPr>
                <w:sz w:val="24"/>
                <w:szCs w:val="24"/>
              </w:rPr>
            </w:pPr>
            <w:r>
              <w:rPr>
                <w:rFonts w:ascii="Times New Roman" w:hAnsi="Times New Roman" w:cs="Times New Roman"/>
                <w:color w:val="#000000"/>
                <w:sz w:val="24"/>
                <w:szCs w:val="24"/>
              </w:rPr>
              <w:t> 2.	Концептуальный этап моделирования</w:t>
            </w:r>
          </w:p>
          <w:p>
            <w:pPr>
              <w:jc w:val="both"/>
              <w:spacing w:after="0" w:line="240" w:lineRule="auto"/>
              <w:rPr>
                <w:sz w:val="24"/>
                <w:szCs w:val="24"/>
              </w:rPr>
            </w:pPr>
            <w:r>
              <w:rPr>
                <w:rFonts w:ascii="Times New Roman" w:hAnsi="Times New Roman" w:cs="Times New Roman"/>
                <w:color w:val="#000000"/>
                <w:sz w:val="24"/>
                <w:szCs w:val="24"/>
              </w:rPr>
              <w:t> 3.	Математический этап моделирования</w:t>
            </w:r>
          </w:p>
          <w:p>
            <w:pPr>
              <w:jc w:val="both"/>
              <w:spacing w:after="0" w:line="240" w:lineRule="auto"/>
              <w:rPr>
                <w:sz w:val="24"/>
                <w:szCs w:val="24"/>
              </w:rPr>
            </w:pPr>
            <w:r>
              <w:rPr>
                <w:rFonts w:ascii="Times New Roman" w:hAnsi="Times New Roman" w:cs="Times New Roman"/>
                <w:color w:val="#000000"/>
                <w:sz w:val="24"/>
                <w:szCs w:val="24"/>
              </w:rPr>
              <w:t> 4.	Программный этап моделирования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метода имитационного моделирования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имитационного моделирования.</w:t>
            </w:r>
          </w:p>
          <w:p>
            <w:pPr>
              <w:jc w:val="both"/>
              <w:spacing w:after="0" w:line="240" w:lineRule="auto"/>
              <w:rPr>
                <w:sz w:val="24"/>
                <w:szCs w:val="24"/>
              </w:rPr>
            </w:pPr>
            <w:r>
              <w:rPr>
                <w:rFonts w:ascii="Times New Roman" w:hAnsi="Times New Roman" w:cs="Times New Roman"/>
                <w:color w:val="#000000"/>
                <w:sz w:val="24"/>
                <w:szCs w:val="24"/>
              </w:rPr>
              <w:t> 2.	Общая характеристика метода имитационного моделирования.</w:t>
            </w:r>
          </w:p>
          <w:p>
            <w:pPr>
              <w:jc w:val="both"/>
              <w:spacing w:after="0" w:line="240" w:lineRule="auto"/>
              <w:rPr>
                <w:sz w:val="24"/>
                <w:szCs w:val="24"/>
              </w:rPr>
            </w:pPr>
            <w:r>
              <w:rPr>
                <w:rFonts w:ascii="Times New Roman" w:hAnsi="Times New Roman" w:cs="Times New Roman"/>
                <w:color w:val="#000000"/>
                <w:sz w:val="24"/>
                <w:szCs w:val="24"/>
              </w:rPr>
              <w:t> 3.	Статистическое моделирование при решении детерминированных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массового обслуживания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простейшего потока</w:t>
            </w:r>
          </w:p>
          <w:p>
            <w:pPr>
              <w:jc w:val="both"/>
              <w:spacing w:after="0" w:line="240" w:lineRule="auto"/>
              <w:rPr>
                <w:sz w:val="24"/>
                <w:szCs w:val="24"/>
              </w:rPr>
            </w:pPr>
            <w:r>
              <w:rPr>
                <w:rFonts w:ascii="Times New Roman" w:hAnsi="Times New Roman" w:cs="Times New Roman"/>
                <w:color w:val="#000000"/>
                <w:sz w:val="24"/>
                <w:szCs w:val="24"/>
              </w:rPr>
              <w:t> 2.	Принцип функционирования систем массового обслуживания</w:t>
            </w:r>
          </w:p>
          <w:p>
            <w:pPr>
              <w:jc w:val="both"/>
              <w:spacing w:after="0" w:line="240" w:lineRule="auto"/>
              <w:rPr>
                <w:sz w:val="24"/>
                <w:szCs w:val="24"/>
              </w:rPr>
            </w:pPr>
            <w:r>
              <w:rPr>
                <w:rFonts w:ascii="Times New Roman" w:hAnsi="Times New Roman" w:cs="Times New Roman"/>
                <w:color w:val="#000000"/>
                <w:sz w:val="24"/>
                <w:szCs w:val="24"/>
              </w:rPr>
              <w:t> 3.	Виды систем массового обслуживания</w:t>
            </w:r>
          </w:p>
          <w:p>
            <w:pPr>
              <w:jc w:val="both"/>
              <w:spacing w:after="0" w:line="240" w:lineRule="auto"/>
              <w:rPr>
                <w:sz w:val="24"/>
                <w:szCs w:val="24"/>
              </w:rPr>
            </w:pPr>
            <w:r>
              <w:rPr>
                <w:rFonts w:ascii="Times New Roman" w:hAnsi="Times New Roman" w:cs="Times New Roman"/>
                <w:color w:val="#000000"/>
                <w:sz w:val="24"/>
                <w:szCs w:val="24"/>
              </w:rPr>
              <w:t> 4.	Многоканальные системы массового обслуживания</w:t>
            </w:r>
          </w:p>
          <w:p>
            <w:pPr>
              <w:jc w:val="both"/>
              <w:spacing w:after="0" w:line="240" w:lineRule="auto"/>
              <w:rPr>
                <w:sz w:val="24"/>
                <w:szCs w:val="24"/>
              </w:rPr>
            </w:pPr>
            <w:r>
              <w:rPr>
                <w:rFonts w:ascii="Times New Roman" w:hAnsi="Times New Roman" w:cs="Times New Roman"/>
                <w:color w:val="#000000"/>
                <w:sz w:val="24"/>
                <w:szCs w:val="24"/>
              </w:rPr>
              <w:t> 5.	Сети массового обслуживания</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случайных величин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Генераторы случайных чисел. Псевдослучайные величины.</w:t>
            </w:r>
          </w:p>
          <w:p>
            <w:pPr>
              <w:jc w:val="both"/>
              <w:spacing w:after="0" w:line="240" w:lineRule="auto"/>
              <w:rPr>
                <w:sz w:val="24"/>
                <w:szCs w:val="24"/>
              </w:rPr>
            </w:pPr>
            <w:r>
              <w:rPr>
                <w:rFonts w:ascii="Times New Roman" w:hAnsi="Times New Roman" w:cs="Times New Roman"/>
                <w:color w:val="#000000"/>
                <w:sz w:val="24"/>
                <w:szCs w:val="24"/>
              </w:rPr>
              <w:t> 2.	Равномерное распределение</w:t>
            </w:r>
          </w:p>
          <w:p>
            <w:pPr>
              <w:jc w:val="both"/>
              <w:spacing w:after="0" w:line="240" w:lineRule="auto"/>
              <w:rPr>
                <w:sz w:val="24"/>
                <w:szCs w:val="24"/>
              </w:rPr>
            </w:pPr>
            <w:r>
              <w:rPr>
                <w:rFonts w:ascii="Times New Roman" w:hAnsi="Times New Roman" w:cs="Times New Roman"/>
                <w:color w:val="#000000"/>
                <w:sz w:val="24"/>
                <w:szCs w:val="24"/>
              </w:rPr>
              <w:t> 3.	Моделирование нормального распределения с помощью генератора случайных чисел</w:t>
            </w:r>
          </w:p>
          <w:p>
            <w:pPr>
              <w:jc w:val="both"/>
              <w:spacing w:after="0" w:line="240" w:lineRule="auto"/>
              <w:rPr>
                <w:sz w:val="24"/>
                <w:szCs w:val="24"/>
              </w:rPr>
            </w:pPr>
            <w:r>
              <w:rPr>
                <w:rFonts w:ascii="Times New Roman" w:hAnsi="Times New Roman" w:cs="Times New Roman"/>
                <w:color w:val="#000000"/>
                <w:sz w:val="24"/>
                <w:szCs w:val="24"/>
              </w:rPr>
              <w:t> 4.	Моделирование различных распределений с помощью генератора случайных чисел</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случайных событий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Случайные события. Полная группа событий</w:t>
            </w:r>
          </w:p>
          <w:p>
            <w:pPr>
              <w:jc w:val="both"/>
              <w:spacing w:after="0" w:line="240" w:lineRule="auto"/>
              <w:rPr>
                <w:sz w:val="24"/>
                <w:szCs w:val="24"/>
              </w:rPr>
            </w:pPr>
            <w:r>
              <w:rPr>
                <w:rFonts w:ascii="Times New Roman" w:hAnsi="Times New Roman" w:cs="Times New Roman"/>
                <w:color w:val="#000000"/>
                <w:sz w:val="24"/>
                <w:szCs w:val="24"/>
              </w:rPr>
              <w:t> 2.	Моделирование единичного события.</w:t>
            </w:r>
          </w:p>
          <w:p>
            <w:pPr>
              <w:jc w:val="both"/>
              <w:spacing w:after="0" w:line="240" w:lineRule="auto"/>
              <w:rPr>
                <w:sz w:val="24"/>
                <w:szCs w:val="24"/>
              </w:rPr>
            </w:pPr>
            <w:r>
              <w:rPr>
                <w:rFonts w:ascii="Times New Roman" w:hAnsi="Times New Roman" w:cs="Times New Roman"/>
                <w:color w:val="#000000"/>
                <w:sz w:val="24"/>
                <w:szCs w:val="24"/>
              </w:rPr>
              <w:t> 3.	Моделирование полной группы несовместных событий.</w:t>
            </w:r>
          </w:p>
          <w:p>
            <w:pPr>
              <w:jc w:val="both"/>
              <w:spacing w:after="0" w:line="240" w:lineRule="auto"/>
              <w:rPr>
                <w:sz w:val="24"/>
                <w:szCs w:val="24"/>
              </w:rPr>
            </w:pPr>
            <w:r>
              <w:rPr>
                <w:rFonts w:ascii="Times New Roman" w:hAnsi="Times New Roman" w:cs="Times New Roman"/>
                <w:color w:val="#000000"/>
                <w:sz w:val="24"/>
                <w:szCs w:val="24"/>
              </w:rPr>
              <w:t> 4.	Моделирование совместных независимых событий. Моделирование совместных зависимых событий.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случайных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случайных процессов.</w:t>
            </w:r>
          </w:p>
          <w:p>
            <w:pPr>
              <w:jc w:val="both"/>
              <w:spacing w:after="0" w:line="240" w:lineRule="auto"/>
              <w:rPr>
                <w:sz w:val="24"/>
                <w:szCs w:val="24"/>
              </w:rPr>
            </w:pPr>
            <w:r>
              <w:rPr>
                <w:rFonts w:ascii="Times New Roman" w:hAnsi="Times New Roman" w:cs="Times New Roman"/>
                <w:color w:val="#000000"/>
                <w:sz w:val="24"/>
                <w:szCs w:val="24"/>
              </w:rPr>
              <w:t> 2.	Способы продвижения модельного времени.</w:t>
            </w:r>
          </w:p>
          <w:p>
            <w:pPr>
              <w:jc w:val="both"/>
              <w:spacing w:after="0" w:line="240" w:lineRule="auto"/>
              <w:rPr>
                <w:sz w:val="24"/>
                <w:szCs w:val="24"/>
              </w:rPr>
            </w:pPr>
            <w:r>
              <w:rPr>
                <w:rFonts w:ascii="Times New Roman" w:hAnsi="Times New Roman" w:cs="Times New Roman"/>
                <w:color w:val="#000000"/>
                <w:sz w:val="24"/>
                <w:szCs w:val="24"/>
              </w:rPr>
              <w:t> 3.	Модель противоборства двух сторон.</w:t>
            </w:r>
          </w:p>
          <w:p>
            <w:pPr>
              <w:jc w:val="both"/>
              <w:spacing w:after="0" w:line="240" w:lineRule="auto"/>
              <w:rPr>
                <w:sz w:val="24"/>
                <w:szCs w:val="24"/>
              </w:rPr>
            </w:pPr>
            <w:r>
              <w:rPr>
                <w:rFonts w:ascii="Times New Roman" w:hAnsi="Times New Roman" w:cs="Times New Roman"/>
                <w:color w:val="#000000"/>
                <w:sz w:val="24"/>
                <w:szCs w:val="24"/>
              </w:rPr>
              <w:t> 4.	Модель противоборства как процесс блуждания по решетке.</w:t>
            </w:r>
          </w:p>
          <w:p>
            <w:pPr>
              <w:jc w:val="both"/>
              <w:spacing w:after="0" w:line="240" w:lineRule="auto"/>
              <w:rPr>
                <w:sz w:val="24"/>
                <w:szCs w:val="24"/>
              </w:rPr>
            </w:pPr>
            <w:r>
              <w:rPr>
                <w:rFonts w:ascii="Times New Roman" w:hAnsi="Times New Roman" w:cs="Times New Roman"/>
                <w:color w:val="#000000"/>
                <w:sz w:val="24"/>
                <w:szCs w:val="24"/>
              </w:rPr>
              <w:t> 5.	Типовая схема имитационной модели с продвижением времени по событиям.</w:t>
            </w:r>
          </w:p>
          <w:p>
            <w:pPr>
              <w:jc w:val="both"/>
              <w:spacing w:after="0" w:line="240" w:lineRule="auto"/>
              <w:rPr>
                <w:sz w:val="24"/>
                <w:szCs w:val="24"/>
              </w:rPr>
            </w:pPr>
            <w:r>
              <w:rPr>
                <w:rFonts w:ascii="Times New Roman" w:hAnsi="Times New Roman" w:cs="Times New Roman"/>
                <w:color w:val="#000000"/>
                <w:sz w:val="24"/>
                <w:szCs w:val="24"/>
              </w:rPr>
              <w:t> 6.	Имитационная модель системы массового обслуживания.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моделирование статистических зависимостей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Коэффициент корреляции.</w:t>
            </w:r>
          </w:p>
          <w:p>
            <w:pPr>
              <w:jc w:val="both"/>
              <w:spacing w:after="0" w:line="240" w:lineRule="auto"/>
              <w:rPr>
                <w:sz w:val="24"/>
                <w:szCs w:val="24"/>
              </w:rPr>
            </w:pPr>
            <w:r>
              <w:rPr>
                <w:rFonts w:ascii="Times New Roman" w:hAnsi="Times New Roman" w:cs="Times New Roman"/>
                <w:color w:val="#000000"/>
                <w:sz w:val="24"/>
                <w:szCs w:val="24"/>
              </w:rPr>
              <w:t> 2.	Оценка разброса коэффициента корреляции</w:t>
            </w:r>
          </w:p>
          <w:p>
            <w:pPr>
              <w:jc w:val="both"/>
              <w:spacing w:after="0" w:line="240" w:lineRule="auto"/>
              <w:rPr>
                <w:sz w:val="24"/>
                <w:szCs w:val="24"/>
              </w:rPr>
            </w:pPr>
            <w:r>
              <w:rPr>
                <w:rFonts w:ascii="Times New Roman" w:hAnsi="Times New Roman" w:cs="Times New Roman"/>
                <w:color w:val="#000000"/>
                <w:sz w:val="24"/>
                <w:szCs w:val="24"/>
              </w:rPr>
              <w:t> 3.	Ранговая корреляция.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4.	Анализ очищенных связей, частные коэффициенты корреляции.</w:t>
            </w:r>
          </w:p>
          <w:p>
            <w:pPr>
              <w:jc w:val="both"/>
              <w:spacing w:after="0" w:line="240" w:lineRule="auto"/>
              <w:rPr>
                <w:sz w:val="24"/>
                <w:szCs w:val="24"/>
              </w:rPr>
            </w:pPr>
            <w:r>
              <w:rPr>
                <w:rFonts w:ascii="Times New Roman" w:hAnsi="Times New Roman" w:cs="Times New Roman"/>
                <w:color w:val="#000000"/>
                <w:sz w:val="24"/>
                <w:szCs w:val="24"/>
              </w:rPr>
              <w:t> 5.	Регрессия.</w:t>
            </w:r>
          </w:p>
          <w:p>
            <w:pPr>
              <w:jc w:val="both"/>
              <w:spacing w:after="0" w:line="240" w:lineRule="auto"/>
              <w:rPr>
                <w:sz w:val="24"/>
                <w:szCs w:val="24"/>
              </w:rPr>
            </w:pPr>
            <w:r>
              <w:rPr>
                <w:rFonts w:ascii="Times New Roman" w:hAnsi="Times New Roman" w:cs="Times New Roman"/>
                <w:color w:val="#000000"/>
                <w:sz w:val="24"/>
                <w:szCs w:val="24"/>
              </w:rPr>
              <w:t> 6.	Множественная корреляция.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дисперсионного и корреляционного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Однофакторный дисперсионный анализ.</w:t>
            </w:r>
          </w:p>
          <w:p>
            <w:pPr>
              <w:jc w:val="both"/>
              <w:spacing w:after="0" w:line="240" w:lineRule="auto"/>
              <w:rPr>
                <w:sz w:val="24"/>
                <w:szCs w:val="24"/>
              </w:rPr>
            </w:pPr>
            <w:r>
              <w:rPr>
                <w:rFonts w:ascii="Times New Roman" w:hAnsi="Times New Roman" w:cs="Times New Roman"/>
                <w:color w:val="#000000"/>
                <w:sz w:val="24"/>
                <w:szCs w:val="24"/>
              </w:rPr>
              <w:t> 2.	Выявление несущественных факторов.</w:t>
            </w:r>
          </w:p>
          <w:p>
            <w:pPr>
              <w:jc w:val="both"/>
              <w:spacing w:after="0" w:line="240" w:lineRule="auto"/>
              <w:rPr>
                <w:sz w:val="24"/>
                <w:szCs w:val="24"/>
              </w:rPr>
            </w:pPr>
            <w:r>
              <w:rPr>
                <w:rFonts w:ascii="Times New Roman" w:hAnsi="Times New Roman" w:cs="Times New Roman"/>
                <w:color w:val="#000000"/>
                <w:sz w:val="24"/>
                <w:szCs w:val="24"/>
              </w:rPr>
              <w:t> 3.	Сущность корреляционного анализа.</w:t>
            </w:r>
          </w:p>
          <w:p>
            <w:pPr>
              <w:jc w:val="both"/>
              <w:spacing w:after="0" w:line="240" w:lineRule="auto"/>
              <w:rPr>
                <w:sz w:val="24"/>
                <w:szCs w:val="24"/>
              </w:rPr>
            </w:pPr>
            <w:r>
              <w:rPr>
                <w:rFonts w:ascii="Times New Roman" w:hAnsi="Times New Roman" w:cs="Times New Roman"/>
                <w:color w:val="#000000"/>
                <w:sz w:val="24"/>
                <w:szCs w:val="24"/>
              </w:rPr>
              <w:t> 4.	Обработка результатов эксперимента на основе регрессии.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экспериментов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цели планирования эксперимента.</w:t>
            </w:r>
          </w:p>
          <w:p>
            <w:pPr>
              <w:jc w:val="both"/>
              <w:spacing w:after="0" w:line="240" w:lineRule="auto"/>
              <w:rPr>
                <w:sz w:val="24"/>
                <w:szCs w:val="24"/>
              </w:rPr>
            </w:pPr>
            <w:r>
              <w:rPr>
                <w:rFonts w:ascii="Times New Roman" w:hAnsi="Times New Roman" w:cs="Times New Roman"/>
                <w:color w:val="#000000"/>
                <w:sz w:val="24"/>
                <w:szCs w:val="24"/>
              </w:rPr>
              <w:t> 2.	Элементы стратегического планирования экспериментов.</w:t>
            </w:r>
          </w:p>
          <w:p>
            <w:pPr>
              <w:jc w:val="both"/>
              <w:spacing w:after="0" w:line="240" w:lineRule="auto"/>
              <w:rPr>
                <w:sz w:val="24"/>
                <w:szCs w:val="24"/>
              </w:rPr>
            </w:pPr>
            <w:r>
              <w:rPr>
                <w:rFonts w:ascii="Times New Roman" w:hAnsi="Times New Roman" w:cs="Times New Roman"/>
                <w:color w:val="#000000"/>
                <w:sz w:val="24"/>
                <w:szCs w:val="24"/>
              </w:rPr>
              <w:t> 3.	Стандартные планы.</w:t>
            </w:r>
          </w:p>
          <w:p>
            <w:pPr>
              <w:jc w:val="both"/>
              <w:spacing w:after="0" w:line="240" w:lineRule="auto"/>
              <w:rPr>
                <w:sz w:val="24"/>
                <w:szCs w:val="24"/>
              </w:rPr>
            </w:pPr>
            <w:r>
              <w:rPr>
                <w:rFonts w:ascii="Times New Roman" w:hAnsi="Times New Roman" w:cs="Times New Roman"/>
                <w:color w:val="#000000"/>
                <w:sz w:val="24"/>
                <w:szCs w:val="24"/>
              </w:rPr>
              <w:t> 4.	Формальный подход к сокращению общего числа прогонов.</w:t>
            </w:r>
          </w:p>
          <w:p>
            <w:pPr>
              <w:jc w:val="both"/>
              <w:spacing w:after="0" w:line="240" w:lineRule="auto"/>
              <w:rPr>
                <w:sz w:val="24"/>
                <w:szCs w:val="24"/>
              </w:rPr>
            </w:pPr>
            <w:r>
              <w:rPr>
                <w:rFonts w:ascii="Times New Roman" w:hAnsi="Times New Roman" w:cs="Times New Roman"/>
                <w:color w:val="#000000"/>
                <w:sz w:val="24"/>
                <w:szCs w:val="24"/>
              </w:rPr>
              <w:t> 5.	Элементы тактического планирования.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результатов имитационного эксперимента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Характеристики случайных величин и процессов.</w:t>
            </w:r>
          </w:p>
          <w:p>
            <w:pPr>
              <w:jc w:val="both"/>
              <w:spacing w:after="0" w:line="240" w:lineRule="auto"/>
              <w:rPr>
                <w:sz w:val="24"/>
                <w:szCs w:val="24"/>
              </w:rPr>
            </w:pPr>
            <w:r>
              <w:rPr>
                <w:rFonts w:ascii="Times New Roman" w:hAnsi="Times New Roman" w:cs="Times New Roman"/>
                <w:color w:val="#000000"/>
                <w:sz w:val="24"/>
                <w:szCs w:val="24"/>
              </w:rPr>
              <w:t> 2.	Требования к оценкам характеристик.</w:t>
            </w:r>
          </w:p>
          <w:p>
            <w:pPr>
              <w:jc w:val="both"/>
              <w:spacing w:after="0" w:line="240" w:lineRule="auto"/>
              <w:rPr>
                <w:sz w:val="24"/>
                <w:szCs w:val="24"/>
              </w:rPr>
            </w:pPr>
            <w:r>
              <w:rPr>
                <w:rFonts w:ascii="Times New Roman" w:hAnsi="Times New Roman" w:cs="Times New Roman"/>
                <w:color w:val="#000000"/>
                <w:sz w:val="24"/>
                <w:szCs w:val="24"/>
              </w:rPr>
              <w:t> 3.	Оценка характеристик случайных величин и процессов.</w:t>
            </w:r>
          </w:p>
          <w:p>
            <w:pPr>
              <w:jc w:val="both"/>
              <w:spacing w:after="0" w:line="240" w:lineRule="auto"/>
              <w:rPr>
                <w:sz w:val="24"/>
                <w:szCs w:val="24"/>
              </w:rPr>
            </w:pPr>
            <w:r>
              <w:rPr>
                <w:rFonts w:ascii="Times New Roman" w:hAnsi="Times New Roman" w:cs="Times New Roman"/>
                <w:color w:val="#000000"/>
                <w:sz w:val="24"/>
                <w:szCs w:val="24"/>
              </w:rPr>
              <w:t> 4.	Гистограмма.</w:t>
            </w:r>
          </w:p>
          <w:p>
            <w:pPr>
              <w:jc w:val="both"/>
              <w:spacing w:after="0" w:line="240" w:lineRule="auto"/>
              <w:rPr>
                <w:sz w:val="24"/>
                <w:szCs w:val="24"/>
              </w:rPr>
            </w:pPr>
            <w:r>
              <w:rPr>
                <w:rFonts w:ascii="Times New Roman" w:hAnsi="Times New Roman" w:cs="Times New Roman"/>
                <w:color w:val="#000000"/>
                <w:sz w:val="24"/>
                <w:szCs w:val="24"/>
              </w:rPr>
              <w:t> 5.	Критерий Фишера. Критерий Вилкоксона.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теории имитационного моделирования (круглый стол)</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теории имитационного моделирования.</w:t>
            </w:r>
          </w:p>
          <w:p>
            <w:pPr>
              <w:jc w:val="both"/>
              <w:spacing w:after="0" w:line="240" w:lineRule="auto"/>
              <w:rPr>
                <w:sz w:val="24"/>
                <w:szCs w:val="24"/>
              </w:rPr>
            </w:pPr>
            <w:r>
              <w:rPr>
                <w:rFonts w:ascii="Times New Roman" w:hAnsi="Times New Roman" w:cs="Times New Roman"/>
                <w:color w:val="#000000"/>
                <w:sz w:val="24"/>
                <w:szCs w:val="24"/>
              </w:rPr>
              <w:t> 2.	Распределенное имитационное моделирование.</w:t>
            </w:r>
          </w:p>
          <w:p>
            <w:pPr>
              <w:jc w:val="both"/>
              <w:spacing w:after="0" w:line="240" w:lineRule="auto"/>
              <w:rPr>
                <w:sz w:val="24"/>
                <w:szCs w:val="24"/>
              </w:rPr>
            </w:pPr>
            <w:r>
              <w:rPr>
                <w:rFonts w:ascii="Times New Roman" w:hAnsi="Times New Roman" w:cs="Times New Roman"/>
                <w:color w:val="#000000"/>
                <w:sz w:val="24"/>
                <w:szCs w:val="24"/>
              </w:rPr>
              <w:t> 3.	Агентное моделирование.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«Имитационное моделирование»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https://urait.ru/bcode/438785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Древс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Золотарёв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Эльберг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978-5-7638-3648-6.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978-5-9275-2426-6.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7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2024-2025_ФГОС3++2024_Бак-ОФО-ПИ(24)_plx_Имитационное моделирование_11111111</dc:title>
  <dc:creator>FastReport.NET</dc:creator>
</cp:coreProperties>
</file>